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25.07.2022 N 606</w:t>
              <w:br/>
              <w:t xml:space="preserve">"Об утверждении федерального государственного образовательного стандарта среднего профессионального образования по профессии 35.01.28 Мастер столярного и мебельного производства"</w:t>
              <w:br/>
              <w:t xml:space="preserve">(Зарегистрировано в Минюсте России 23.08.2022 N 69751)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23 августа 2022 г. N 69751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25 июля 2022 г. N 606</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 35.01.28</w:t>
      </w:r>
    </w:p>
    <w:p>
      <w:pPr>
        <w:pStyle w:val="2"/>
        <w:jc w:val="center"/>
      </w:pPr>
      <w:r>
        <w:rPr>
          <w:sz w:val="20"/>
        </w:rPr>
        <w:t xml:space="preserve">МАСТЕР СТОЛЯРНОГО И МЕБЕЛЬНОГО ПРОИЗВОДСТВА</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35.01.28 Мастер столярного и мебельного производства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02.08.2013 N 764 (ред. от 13.07.2021) &quot;Об утверждении федерального государственного образовательного стандарта среднего профессионального образования по профессии 262023.01 Мастер столярного и мебельного производства&quot; (Зарегистрировано в Минюсте России 20.08.2013 N 29645) {КонсультантПлюс}">
        <w:r>
          <w:rPr>
            <w:sz w:val="20"/>
            <w:color w:val="0000ff"/>
          </w:rPr>
          <w:t xml:space="preserve">стандартом</w:t>
        </w:r>
      </w:hyperlink>
      <w:r>
        <w:rPr>
          <w:sz w:val="20"/>
        </w:rPr>
        <w:t xml:space="preserve"> среднего профессионального образования по профессии </w:t>
      </w:r>
      <w:hyperlink w:history="0" r:id="rId10" w:tooltip="Приказ Минобрнауки РФ от 28.09.2009 N 354 (ред. от 21.02.2012) &quot;Об утверждении Перечня профессий начального профессионального образования&quot; (Зарегистрировано в Минюсте РФ 22.10.2009 N 15083) ------------ Утратил силу или отменен {КонсультантПлюс}">
        <w:r>
          <w:rPr>
            <w:sz w:val="20"/>
            <w:color w:val="0000ff"/>
          </w:rPr>
          <w:t xml:space="preserve">262023.01</w:t>
        </w:r>
      </w:hyperlink>
      <w:r>
        <w:rPr>
          <w:sz w:val="20"/>
        </w:rPr>
        <w:t xml:space="preserve"> Мастер столярного и мебельного производства, утвержденным приказом Министерства образования и науки Российской Федерации от 2 августа 2013 г. N 764 (зарегистрирован Министерством юстиции Российской Федерации 20 августа 2013 г., регистрационный N 29645),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и приказом Министерства просвещения Российской Федерации от 13 июля 2021 г. N 450 (зарегистрирован Министерством юстиции Российской Федерации 14 октября 2021 г., регистрационный N 65410), прекращается с 31 декабря 2022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25 июля 2022 г. N 606</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 35.01.28</w:t>
      </w:r>
    </w:p>
    <w:p>
      <w:pPr>
        <w:pStyle w:val="2"/>
        <w:jc w:val="center"/>
      </w:pPr>
      <w:r>
        <w:rPr>
          <w:sz w:val="20"/>
        </w:rPr>
        <w:t xml:space="preserve">МАСТЕР СТОЛЯРНОГО И МЕБЕЛЬНОГО ПРОИЗВОДСТВА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40" w:name="P40"/>
    <w:bookmarkEnd w:id="40"/>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квалифицированных рабочих, служащих по профессии </w:t>
      </w:r>
      <w:hyperlink w:history="0" r:id="rId11" w:tooltip="Приказ Минпросвещения России от 17.05.2022 N 336 &quot;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N 1199 &quot;Об утверждении перечней профессий и специальностей с {КонсультантПлюс}">
        <w:r>
          <w:rPr>
            <w:sz w:val="20"/>
            <w:color w:val="0000ff"/>
          </w:rPr>
          <w:t xml:space="preserve">35.01.28</w:t>
        </w:r>
      </w:hyperlink>
      <w:r>
        <w:rPr>
          <w:sz w:val="20"/>
        </w:rPr>
        <w:t xml:space="preserve"> Мастер столярного и мебельного производства (далее соответственно - ФГОС СПО, образовательная программа, профессия) в соответствии с квалификацией квалифицированного рабочего, служащего "мастер"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просвещения России от 17.05.2022 N 336 &quot;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N 1199 &quot;Об утверждении перечней профессий и специальностей с {КонсультантПлюс}">
        <w:r>
          <w:rPr>
            <w:sz w:val="20"/>
            <w:color w:val="0000ff"/>
          </w:rPr>
          <w:t xml:space="preserve">Перечень</w:t>
        </w:r>
      </w:hyperlink>
      <w:r>
        <w:rPr>
          <w:sz w:val="20"/>
        </w:rPr>
        <w:t xml:space="preserve"> профессий среднего профессионального образования, утвержденный приказом Министерства просвещения Российской Федерации от 17 мая 2022 г. N 336 (зарегистрирован Министерством юстиции Российской Федерации 17 июня 2022 г., регистрационный N 68887).</w:t>
      </w:r>
    </w:p>
    <w:p>
      <w:pPr>
        <w:pStyle w:val="0"/>
        <w:jc w:val="both"/>
      </w:pPr>
      <w:r>
        <w:rPr>
          <w:sz w:val="20"/>
        </w:rPr>
      </w:r>
    </w:p>
    <w:p>
      <w:pPr>
        <w:pStyle w:val="0"/>
        <w:ind w:firstLine="540"/>
        <w:jc w:val="both"/>
      </w:pPr>
      <w:r>
        <w:rPr>
          <w:sz w:val="20"/>
        </w:rPr>
        <w:t xml:space="preserve">1.2.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w:t>
      </w:r>
      <w:hyperlink w:history="0" r:id="rId13"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стандарта</w:t>
        </w:r>
      </w:hyperlink>
      <w:r>
        <w:rPr>
          <w:sz w:val="20"/>
        </w:rPr>
        <w:t xml:space="preserve"> среднего общего образования &lt;2&gt; и ФГОС СПО с учетом получаемой профессии.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Федеральный государственный образовательный </w:t>
      </w:r>
      <w:hyperlink w:history="0" r:id="rId14"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w:t>
        </w:r>
      </w:hyperlink>
      <w:r>
        <w:rPr>
          <w:sz w:val="20"/>
        </w:rP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и от 11 декабря 2020 г. N 712 (зарегистрирован Министерством юстиции Российской Федерации 25 декабря 2020 г., регистрационный N 61828).</w:t>
      </w:r>
    </w:p>
    <w:p>
      <w:pPr>
        <w:pStyle w:val="0"/>
        <w:jc w:val="both"/>
      </w:pPr>
      <w:r>
        <w:rPr>
          <w:sz w:val="20"/>
        </w:rPr>
      </w:r>
    </w:p>
    <w:p>
      <w:pPr>
        <w:pStyle w:val="0"/>
        <w:ind w:firstLine="540"/>
        <w:jc w:val="both"/>
      </w:pPr>
      <w:r>
        <w:rPr>
          <w:sz w:val="20"/>
        </w:rPr>
        <w:t xml:space="preserve">1.4.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1.5.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1.6.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1.7.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соответствующую примерную основную образовательную программу, включенную в реестр примерных основных образовательных программ (далее - ПООП) примерной рабочей программы воспитания и примерного календарного плана воспитательной работы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5" w:tooltip="Федеральный закон от 29.12.2012 N 273-ФЗ (ред. от 05.12.2022) &quot;Об образовании в Российской Федерации&quot; {КонсультантПлюс}">
        <w:r>
          <w:rPr>
            <w:sz w:val="20"/>
            <w:color w:val="0000ff"/>
          </w:rPr>
          <w:t xml:space="preserve">Часть 2 статьи 12.1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r>
    </w:p>
    <w:p>
      <w:pPr>
        <w:pStyle w:val="0"/>
        <w:ind w:firstLine="540"/>
        <w:jc w:val="both"/>
      </w:pPr>
      <w:r>
        <w:rPr>
          <w:sz w:val="20"/>
        </w:rPr>
        <w:t xml:space="preserve">1.8.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6"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bookmarkStart w:id="62" w:name="P62"/>
    <w:bookmarkEnd w:id="62"/>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на базе основного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pPr>
        <w:pStyle w:val="0"/>
        <w:spacing w:before="200" w:line-rule="auto"/>
        <w:ind w:firstLine="540"/>
        <w:jc w:val="both"/>
      </w:pPr>
      <w:r>
        <w:rPr>
          <w:sz w:val="20"/>
        </w:rPr>
        <w:t xml:space="preserve">1.10. 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1.11. Конкретный срок получения образования в очно-заочной форме обучения, а также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w:t>
      </w:r>
      <w:hyperlink w:history="0" w:anchor="P62" w:tooltip="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
        <w:r>
          <w:rPr>
            <w:sz w:val="20"/>
            <w:color w:val="0000ff"/>
          </w:rPr>
          <w:t xml:space="preserve">пунктом 1.9</w:t>
        </w:r>
      </w:hyperlink>
      <w:r>
        <w:rPr>
          <w:sz w:val="20"/>
        </w:rPr>
        <w:t xml:space="preserve"> ФГОС СПО.</w:t>
      </w:r>
    </w:p>
    <w:p>
      <w:pPr>
        <w:pStyle w:val="0"/>
        <w:spacing w:before="200" w:line-rule="auto"/>
        <w:ind w:firstLine="540"/>
        <w:jc w:val="both"/>
      </w:pPr>
      <w:r>
        <w:rPr>
          <w:sz w:val="20"/>
        </w:rPr>
        <w:t xml:space="preserve">1.12.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bookmarkStart w:id="69" w:name="P69"/>
    <w:bookmarkEnd w:id="69"/>
    <w:p>
      <w:pPr>
        <w:pStyle w:val="0"/>
        <w:spacing w:before="200" w:line-rule="auto"/>
        <w:ind w:firstLine="540"/>
        <w:jc w:val="both"/>
      </w:pPr>
      <w:r>
        <w:rPr>
          <w:sz w:val="20"/>
        </w:rPr>
        <w:t xml:space="preserve">1.13.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w:history="0" r:id="rId17"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23</w:t>
        </w:r>
      </w:hyperlink>
      <w:r>
        <w:rPr>
          <w:sz w:val="20"/>
        </w:rPr>
        <w:t xml:space="preserve"> Деревообрабатывающая и целлюлозно-бумажная промышленность, мебельное производство, </w:t>
      </w:r>
      <w:hyperlink w:history="0" r:id="rId18"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40</w:t>
        </w:r>
      </w:hyperlink>
      <w:r>
        <w:rPr>
          <w:sz w:val="20"/>
        </w:rPr>
        <w:t xml:space="preserve"> Сквозные виды профессиональной деятельности в промышленности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pPr>
        <w:pStyle w:val="0"/>
        <w:spacing w:before="200" w:line-rule="auto"/>
        <w:ind w:firstLine="540"/>
        <w:jc w:val="both"/>
      </w:pPr>
      <w:r>
        <w:rPr>
          <w:sz w:val="20"/>
        </w:rPr>
        <w:t xml:space="preserve">1.14. При разработке образовательной программы организация устанавливает направленность, которая соответствует профессии в целом, с учетом соответствующей ПООП.</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и объем образовательной программы </w:t>
      </w:r>
      <w:hyperlink w:history="0" w:anchor="P85" w:tooltip="Структура и объем образовательной программы">
        <w:r>
          <w:rPr>
            <w:sz w:val="20"/>
            <w:color w:val="0000ff"/>
          </w:rPr>
          <w:t xml:space="preserve">(таблица N 1)</w:t>
        </w:r>
      </w:hyperlink>
      <w:r>
        <w:rPr>
          <w:sz w:val="20"/>
        </w:rPr>
        <w:t xml:space="preserve"> включает:</w:t>
      </w:r>
    </w:p>
    <w:p>
      <w:pPr>
        <w:pStyle w:val="0"/>
        <w:spacing w:before="200" w:line-rule="auto"/>
        <w:ind w:firstLine="540"/>
        <w:jc w:val="both"/>
      </w:pPr>
      <w:r>
        <w:rPr>
          <w:sz w:val="20"/>
        </w:rPr>
        <w:t xml:space="preserve">дисциплины (модули);</w:t>
      </w:r>
    </w:p>
    <w:p>
      <w:pPr>
        <w:pStyle w:val="0"/>
        <w:spacing w:before="200" w:line-rule="auto"/>
        <w:ind w:firstLine="540"/>
        <w:jc w:val="both"/>
      </w:pPr>
      <w:r>
        <w:rPr>
          <w:sz w:val="20"/>
        </w:rPr>
        <w:t xml:space="preserve">практику;</w:t>
      </w:r>
    </w:p>
    <w:p>
      <w:pPr>
        <w:pStyle w:val="0"/>
        <w:spacing w:before="200" w:line-rule="auto"/>
        <w:ind w:firstLine="540"/>
        <w:jc w:val="both"/>
      </w:pPr>
      <w:r>
        <w:rPr>
          <w:sz w:val="20"/>
        </w:rPr>
        <w:t xml:space="preserve">государственную итоговую аттестацию.</w:t>
      </w:r>
    </w:p>
    <w:p>
      <w:pPr>
        <w:pStyle w:val="0"/>
        <w:jc w:val="both"/>
      </w:pPr>
      <w:r>
        <w:rPr>
          <w:sz w:val="20"/>
        </w:rPr>
      </w:r>
    </w:p>
    <w:p>
      <w:pPr>
        <w:pStyle w:val="0"/>
        <w:jc w:val="right"/>
      </w:pPr>
      <w:r>
        <w:rPr>
          <w:sz w:val="20"/>
        </w:rPr>
        <w:t xml:space="preserve">Таблица N 1</w:t>
      </w:r>
    </w:p>
    <w:p>
      <w:pPr>
        <w:pStyle w:val="0"/>
        <w:jc w:val="both"/>
      </w:pPr>
      <w:r>
        <w:rPr>
          <w:sz w:val="20"/>
        </w:rPr>
      </w:r>
    </w:p>
    <w:bookmarkStart w:id="85" w:name="P85"/>
    <w:bookmarkEnd w:id="85"/>
    <w:p>
      <w:pPr>
        <w:pStyle w:val="0"/>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18"/>
        <w:gridCol w:w="4251"/>
      </w:tblGrid>
      <w:tr>
        <w:tc>
          <w:tcPr>
            <w:tcW w:w="4818" w:type="dxa"/>
          </w:tcPr>
          <w:p>
            <w:pPr>
              <w:pStyle w:val="0"/>
              <w:jc w:val="center"/>
            </w:pPr>
            <w:r>
              <w:rPr>
                <w:sz w:val="20"/>
              </w:rPr>
              <w:t xml:space="preserve">Структура образовательной программы</w:t>
            </w:r>
          </w:p>
        </w:tc>
        <w:tc>
          <w:tcPr>
            <w:tcW w:w="4251" w:type="dxa"/>
          </w:tcPr>
          <w:p>
            <w:pPr>
              <w:pStyle w:val="0"/>
              <w:jc w:val="center"/>
            </w:pPr>
            <w:r>
              <w:rPr>
                <w:sz w:val="20"/>
              </w:rPr>
              <w:t xml:space="preserve">Объем образовательной программы, в академических часах</w:t>
            </w:r>
          </w:p>
        </w:tc>
      </w:tr>
      <w:tr>
        <w:tc>
          <w:tcPr>
            <w:tcW w:w="4818" w:type="dxa"/>
          </w:tcPr>
          <w:p>
            <w:pPr>
              <w:pStyle w:val="0"/>
            </w:pPr>
            <w:r>
              <w:rPr>
                <w:sz w:val="20"/>
              </w:rPr>
              <w:t xml:space="preserve">Дисциплины (модули)</w:t>
            </w:r>
          </w:p>
        </w:tc>
        <w:tc>
          <w:tcPr>
            <w:tcW w:w="4251" w:type="dxa"/>
          </w:tcPr>
          <w:p>
            <w:pPr>
              <w:pStyle w:val="0"/>
              <w:jc w:val="center"/>
            </w:pPr>
            <w:r>
              <w:rPr>
                <w:sz w:val="20"/>
              </w:rPr>
              <w:t xml:space="preserve">Не менее 540</w:t>
            </w:r>
          </w:p>
        </w:tc>
      </w:tr>
      <w:tr>
        <w:tc>
          <w:tcPr>
            <w:tcW w:w="4818" w:type="dxa"/>
          </w:tcPr>
          <w:p>
            <w:pPr>
              <w:pStyle w:val="0"/>
            </w:pPr>
            <w:r>
              <w:rPr>
                <w:sz w:val="20"/>
              </w:rPr>
              <w:t xml:space="preserve">Практика</w:t>
            </w:r>
          </w:p>
        </w:tc>
        <w:tc>
          <w:tcPr>
            <w:tcW w:w="4251" w:type="dxa"/>
          </w:tcPr>
          <w:p>
            <w:pPr>
              <w:pStyle w:val="0"/>
              <w:jc w:val="center"/>
            </w:pPr>
            <w:r>
              <w:rPr>
                <w:sz w:val="20"/>
              </w:rPr>
              <w:t xml:space="preserve">Не менее 468</w:t>
            </w:r>
          </w:p>
        </w:tc>
      </w:tr>
      <w:tr>
        <w:tc>
          <w:tcPr>
            <w:tcW w:w="4818" w:type="dxa"/>
          </w:tcPr>
          <w:p>
            <w:pPr>
              <w:pStyle w:val="0"/>
              <w:jc w:val="center"/>
            </w:pPr>
            <w:r>
              <w:rPr>
                <w:sz w:val="20"/>
              </w:rPr>
              <w:t xml:space="preserve">Государственная итоговая аттестация</w:t>
            </w:r>
          </w:p>
        </w:tc>
        <w:tc>
          <w:tcPr>
            <w:tcW w:w="4251" w:type="dxa"/>
          </w:tcPr>
          <w:p>
            <w:pPr>
              <w:pStyle w:val="0"/>
              <w:jc w:val="center"/>
            </w:pPr>
            <w:r>
              <w:rPr>
                <w:sz w:val="20"/>
              </w:rPr>
              <w:t xml:space="preserve">36</w:t>
            </w:r>
          </w:p>
        </w:tc>
      </w:tr>
      <w:tr>
        <w:tc>
          <w:tcPr>
            <w:gridSpan w:val="2"/>
            <w:tcW w:w="9069" w:type="dxa"/>
          </w:tcPr>
          <w:p>
            <w:pPr>
              <w:pStyle w:val="0"/>
              <w:jc w:val="center"/>
            </w:pPr>
            <w:r>
              <w:rPr>
                <w:sz w:val="20"/>
              </w:rPr>
              <w:t xml:space="preserve">Общий объем образовательной программы:</w:t>
            </w:r>
          </w:p>
        </w:tc>
      </w:tr>
      <w:tr>
        <w:tc>
          <w:tcPr>
            <w:tcW w:w="4818" w:type="dxa"/>
          </w:tcPr>
          <w:p>
            <w:pPr>
              <w:pStyle w:val="0"/>
            </w:pPr>
            <w:r>
              <w:rPr>
                <w:sz w:val="20"/>
              </w:rPr>
              <w:t xml:space="preserve">на базе среднего общего образования</w:t>
            </w:r>
          </w:p>
        </w:tc>
        <w:tc>
          <w:tcPr>
            <w:tcW w:w="4251" w:type="dxa"/>
          </w:tcPr>
          <w:p>
            <w:pPr>
              <w:pStyle w:val="0"/>
              <w:jc w:val="center"/>
            </w:pPr>
            <w:r>
              <w:rPr>
                <w:sz w:val="20"/>
              </w:rPr>
              <w:t xml:space="preserve">1476</w:t>
            </w:r>
          </w:p>
        </w:tc>
      </w:tr>
      <w:tr>
        <w:tc>
          <w:tcPr>
            <w:tcW w:w="4818"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251" w:type="dxa"/>
          </w:tcPr>
          <w:p>
            <w:pPr>
              <w:pStyle w:val="0"/>
              <w:jc w:val="center"/>
            </w:pPr>
            <w:r>
              <w:rPr>
                <w:sz w:val="20"/>
              </w:rPr>
              <w:t xml:space="preserve">2952</w:t>
            </w:r>
          </w:p>
        </w:tc>
      </w:tr>
    </w:tbl>
    <w:p>
      <w:pPr>
        <w:pStyle w:val="0"/>
        <w:jc w:val="both"/>
      </w:pPr>
      <w:r>
        <w:rPr>
          <w:sz w:val="20"/>
        </w:rPr>
      </w:r>
    </w:p>
    <w:p>
      <w:pPr>
        <w:pStyle w:val="0"/>
        <w:ind w:firstLine="540"/>
        <w:jc w:val="both"/>
      </w:pPr>
      <w:r>
        <w:rPr>
          <w:sz w:val="20"/>
        </w:rPr>
        <w:t xml:space="preserve">2.2. Образовательная программа включает:</w:t>
      </w:r>
    </w:p>
    <w:p>
      <w:pPr>
        <w:pStyle w:val="0"/>
        <w:spacing w:before="200" w:line-rule="auto"/>
        <w:ind w:firstLine="540"/>
        <w:jc w:val="both"/>
      </w:pPr>
      <w:r>
        <w:rPr>
          <w:sz w:val="20"/>
        </w:rPr>
        <w:t xml:space="preserve">социально-гуманитарный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2.3. В рамках образовательной программы выделяются обязательная часть и часть, формируемая участниками образовательных отношений (вариативная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0" w:tooltip="III. ТРЕБОВАНИЯ К РЕЗУЛЬТАТАМ ОСВОЕНИЯ">
        <w:r>
          <w:rPr>
            <w:sz w:val="20"/>
            <w:color w:val="0000ff"/>
          </w:rPr>
          <w:t xml:space="preserve">главой III</w:t>
        </w:r>
      </w:hyperlink>
      <w:r>
        <w:rPr>
          <w:sz w:val="20"/>
        </w:rPr>
        <w:t xml:space="preserve"> ФГОС СПО.</w:t>
      </w:r>
    </w:p>
    <w:p>
      <w:pPr>
        <w:pStyle w:val="0"/>
        <w:spacing w:before="200" w:line-rule="auto"/>
        <w:ind w:firstLine="540"/>
        <w:jc w:val="both"/>
      </w:pPr>
      <w:r>
        <w:rPr>
          <w:sz w:val="20"/>
        </w:rPr>
        <w:t xml:space="preserve">Объем обязательной части без учета объема государственной итоговой аттестации должен составлять не более 70 процентов от общего объема времени, отведенного на освоение образовательной программы.</w:t>
      </w:r>
    </w:p>
    <w:p>
      <w:pPr>
        <w:pStyle w:val="0"/>
        <w:spacing w:before="200" w:line-rule="auto"/>
        <w:ind w:firstLine="540"/>
        <w:jc w:val="both"/>
      </w:pPr>
      <w:r>
        <w:rPr>
          <w:sz w:val="20"/>
        </w:rPr>
        <w:t xml:space="preserve">Вариативная часть образовательной программы не менее 30 процентов от общего объема времени, отведенного на освоение образовательной программы дает возможность дальнейшего развития общих и профессиональных компетенций, в том числе за счет расширения основных видов деятельности, введения дополнительных видов деятельности, а также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 а также с учетом требований цифровой экономики. Конкретное соотношение обязательной и вариативной части образовательной программы, объемные параметры циклов и практики образовательная организация определяет самостоятельно в соответствии с требованиями настоящего пункта, а также с учетом ПООП.</w:t>
      </w:r>
    </w:p>
    <w:bookmarkStart w:id="109" w:name="P109"/>
    <w:bookmarkEnd w:id="109"/>
    <w:p>
      <w:pPr>
        <w:pStyle w:val="0"/>
        <w:spacing w:before="200" w:line-rule="auto"/>
        <w:ind w:firstLine="540"/>
        <w:jc w:val="both"/>
      </w:pPr>
      <w:r>
        <w:rPr>
          <w:sz w:val="20"/>
        </w:rPr>
        <w:t xml:space="preserve">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w:t>
      </w:r>
    </w:p>
    <w:p>
      <w:pPr>
        <w:pStyle w:val="0"/>
        <w:spacing w:before="200" w:line-rule="auto"/>
        <w:ind w:firstLine="540"/>
        <w:jc w:val="both"/>
      </w:pPr>
      <w:r>
        <w:rPr>
          <w:sz w:val="20"/>
        </w:rPr>
        <w:t xml:space="preserve">изготовление столярных и мебельных изделий из древесины и древесных материалов;</w:t>
      </w:r>
    </w:p>
    <w:p>
      <w:pPr>
        <w:pStyle w:val="0"/>
        <w:spacing w:before="200" w:line-rule="auto"/>
        <w:ind w:firstLine="540"/>
        <w:jc w:val="both"/>
      </w:pPr>
      <w:r>
        <w:rPr>
          <w:sz w:val="20"/>
        </w:rPr>
        <w:t xml:space="preserve">отделка изделий из древесины и древесных материалов;</w:t>
      </w:r>
    </w:p>
    <w:p>
      <w:pPr>
        <w:pStyle w:val="0"/>
        <w:spacing w:before="200" w:line-rule="auto"/>
        <w:ind w:firstLine="540"/>
        <w:jc w:val="both"/>
      </w:pPr>
      <w:r>
        <w:rPr>
          <w:sz w:val="20"/>
        </w:rPr>
        <w:t xml:space="preserve">сборка изделий из древесины и древесных материалов.</w:t>
      </w:r>
    </w:p>
    <w:p>
      <w:pPr>
        <w:pStyle w:val="0"/>
        <w:spacing w:before="200" w:line-rule="auto"/>
        <w:ind w:firstLine="540"/>
        <w:jc w:val="both"/>
      </w:pPr>
      <w:r>
        <w:rPr>
          <w:sz w:val="20"/>
        </w:rPr>
        <w:t xml:space="preserve">2.5. Образовательная организация при необходимости самостоятельно формирует виды деятельности в дополнение к видам деятельности, указанным в </w:t>
      </w:r>
      <w:hyperlink w:history="0" w:anchor="P109" w:tooltip="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
        <w:r>
          <w:rPr>
            <w:sz w:val="20"/>
            <w:color w:val="0000ff"/>
          </w:rPr>
          <w:t xml:space="preserve">пункте 2.4</w:t>
        </w:r>
      </w:hyperlink>
      <w:r>
        <w:rPr>
          <w:sz w:val="20"/>
        </w:rPr>
        <w:t xml:space="preserve"> ФГОС СПО, в рамках вариативной части.</w:t>
      </w:r>
    </w:p>
    <w:p>
      <w:pPr>
        <w:pStyle w:val="0"/>
        <w:spacing w:before="200" w:line-rule="auto"/>
        <w:ind w:firstLine="540"/>
        <w:jc w:val="both"/>
      </w:pPr>
      <w:r>
        <w:rPr>
          <w:sz w:val="20"/>
        </w:rPr>
        <w:t xml:space="preserve">2.6. При освоении социально-гуманитарного, общепрофессионального и профессионального циклов (далее - учебные циклы) выделяется объем учебных занятий, практики (в профессиональном цикле) и самостоятельной работы.</w:t>
      </w:r>
    </w:p>
    <w:p>
      <w:pPr>
        <w:pStyle w:val="0"/>
        <w:spacing w:before="200" w:line-rule="auto"/>
        <w:ind w:firstLine="540"/>
        <w:jc w:val="both"/>
      </w:pPr>
      <w:r>
        <w:rPr>
          <w:sz w:val="20"/>
        </w:rPr>
        <w:t xml:space="preserve">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 в очно-заочной форме обучения.</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оценочными материалами,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2.7. Обязательная часть социально-гуманитарного цикла образовательной программы должна предусматривать изучение следующих дисциплин: "История России", "Иностранный язык в профессиональной деятельности", "Безопасность жизнедеятельности", "Физическая культура", "Основы финансовой грамотности".</w:t>
      </w:r>
    </w:p>
    <w:p>
      <w:pPr>
        <w:pStyle w:val="0"/>
        <w:spacing w:before="200" w:line-rule="auto"/>
        <w:ind w:firstLine="540"/>
        <w:jc w:val="both"/>
      </w:pPr>
      <w:r>
        <w:rPr>
          <w:sz w:val="20"/>
        </w:rPr>
        <w:t xml:space="preserve">Общий объем дисциплины "Безопасность жизнедеятельности" в очной форме обучения не может быть менее 36 академических часов, из них на освоение основ военной службы (для юношей) - не менее 24 академических часов; для подгрупп девушек это время может быть использовано на освоение основ медицинских знаний.</w:t>
      </w:r>
    </w:p>
    <w:p>
      <w:pPr>
        <w:pStyle w:val="0"/>
        <w:spacing w:before="200" w:line-rule="auto"/>
        <w:ind w:firstLine="540"/>
        <w:jc w:val="both"/>
      </w:pPr>
      <w:r>
        <w:rPr>
          <w:sz w:val="20"/>
        </w:rPr>
        <w:t xml:space="preserve">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профессиональной деятельности, предупреждению профессиональных заболеваний.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2.8. Обязательная часть общепрофессионального цикла образовательной программы должна предусматривать изучение следующих дисциплин: "Техническая графика", "Материаловедение", "Охрана труда", "Прикладные компьютерные программы профессиональной деятельности".</w:t>
      </w:r>
    </w:p>
    <w:p>
      <w:pPr>
        <w:pStyle w:val="0"/>
        <w:spacing w:before="200" w:line-rule="auto"/>
        <w:ind w:firstLine="540"/>
        <w:jc w:val="both"/>
      </w:pPr>
      <w:r>
        <w:rPr>
          <w:sz w:val="20"/>
        </w:rPr>
        <w:t xml:space="preserve">2.9. Профессиональный цикл образовательной программы включает профессиональные модули, которые формируются в соответствии с видами деятельности, предусмотренными </w:t>
      </w:r>
      <w:hyperlink w:history="0" w:anchor="P109" w:tooltip="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
        <w:r>
          <w:rPr>
            <w:sz w:val="20"/>
            <w:color w:val="0000ff"/>
          </w:rPr>
          <w:t xml:space="preserve">пунктом 2.4</w:t>
        </w:r>
      </w:hyperlink>
      <w:r>
        <w:rPr>
          <w:sz w:val="20"/>
        </w:rPr>
        <w:t xml:space="preserve"> ФГОС СПО, а также дополнительными видами деятельности, сформированными образовательными организациями самостоятельно. В состав профессионального модуля входит один или несколько междисциплинарных курсов, которые устанавливаются образовательной организацией самостоятельно с учетом ПООП. Объем профессионального модуля составляет не менее 4 зачетных единиц.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 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рассредоточенно, чередуясь с учебными занятиями. Типы практики устанавливаются образовательной организацией самостоятельно с учетом ПООП.</w:t>
      </w:r>
    </w:p>
    <w:p>
      <w:pPr>
        <w:pStyle w:val="0"/>
        <w:spacing w:before="200" w:line-rule="auto"/>
        <w:ind w:firstLine="540"/>
        <w:jc w:val="both"/>
      </w:pPr>
      <w:r>
        <w:rPr>
          <w:sz w:val="20"/>
        </w:rPr>
        <w:t xml:space="preserve">2.9.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2.10. Государственная итоговая аттестация проводится в форме демонстрационного экзамена.</w:t>
      </w:r>
    </w:p>
    <w:p>
      <w:pPr>
        <w:pStyle w:val="0"/>
        <w:spacing w:before="200" w:line-rule="auto"/>
        <w:ind w:firstLine="540"/>
        <w:jc w:val="both"/>
      </w:pPr>
      <w:r>
        <w:rPr>
          <w:sz w:val="20"/>
        </w:rPr>
        <w:t xml:space="preserve">2.11. Государственная итоговая аттестация завершается присвоением квалификации квалифицированного рабочего, служащего, указанной в </w:t>
      </w:r>
      <w:hyperlink w:history="0" w:anchor="P40" w:tooltip="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квалифицированных рабочих, служащих по профессии 35.01.28 Мастер столярного и мебельного производства (далее соответственно - ФГОС СПО, образовательная программа, профессия) в соответствии с квалификацией квалифицированного рабочего, служащего &quot;...">
        <w:r>
          <w:rPr>
            <w:sz w:val="20"/>
            <w:color w:val="0000ff"/>
          </w:rPr>
          <w:t xml:space="preserve">пункте 1.1</w:t>
        </w:r>
      </w:hyperlink>
      <w:r>
        <w:rPr>
          <w:sz w:val="20"/>
        </w:rPr>
        <w:t xml:space="preserve"> ФГОС СПО.</w:t>
      </w:r>
    </w:p>
    <w:p>
      <w:pPr>
        <w:pStyle w:val="0"/>
        <w:jc w:val="both"/>
      </w:pPr>
      <w:r>
        <w:rPr>
          <w:sz w:val="20"/>
        </w:rPr>
      </w:r>
    </w:p>
    <w:bookmarkStart w:id="130" w:name="P130"/>
    <w:bookmarkEnd w:id="130"/>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3.3. Выпускник, освоивший образовательную программу, должен обладать профессиональными компетенциями (далее - ПК), соответствующими видам деятельности (таблица N 2), предусмотренным </w:t>
      </w:r>
      <w:hyperlink w:history="0" w:anchor="P109" w:tooltip="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
        <w:r>
          <w:rPr>
            <w:sz w:val="20"/>
            <w:color w:val="0000ff"/>
          </w:rPr>
          <w:t xml:space="preserve">пунктом 2.4</w:t>
        </w:r>
      </w:hyperlink>
      <w:r>
        <w:rPr>
          <w:sz w:val="20"/>
        </w:rPr>
        <w:t xml:space="preserve"> ФГОС СПО, сформированными в том числе на основе профессиональных стандартов (при наличии), указанных в ПООП:</w:t>
      </w:r>
    </w:p>
    <w:p>
      <w:pPr>
        <w:pStyle w:val="0"/>
        <w:jc w:val="both"/>
      </w:pPr>
      <w:r>
        <w:rPr>
          <w:sz w:val="20"/>
        </w:rPr>
      </w:r>
    </w:p>
    <w:p>
      <w:pPr>
        <w:pStyle w:val="0"/>
        <w:jc w:val="right"/>
      </w:pPr>
      <w:r>
        <w:rPr>
          <w:sz w:val="20"/>
        </w:rPr>
        <w:t xml:space="preserve">Таблица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5782"/>
      </w:tblGrid>
      <w:tr>
        <w:tc>
          <w:tcPr>
            <w:tcW w:w="3288" w:type="dxa"/>
          </w:tcPr>
          <w:p>
            <w:pPr>
              <w:pStyle w:val="0"/>
              <w:jc w:val="center"/>
            </w:pPr>
            <w:r>
              <w:rPr>
                <w:sz w:val="20"/>
              </w:rPr>
              <w:t xml:space="preserve">Виды деятельности</w:t>
            </w:r>
          </w:p>
        </w:tc>
        <w:tc>
          <w:tcPr>
            <w:tcW w:w="5782" w:type="dxa"/>
          </w:tcPr>
          <w:p>
            <w:pPr>
              <w:pStyle w:val="0"/>
              <w:jc w:val="center"/>
            </w:pPr>
            <w:r>
              <w:rPr>
                <w:sz w:val="20"/>
              </w:rPr>
              <w:t xml:space="preserve">Профессиональные компетенции, соответствующие видам деятельности</w:t>
            </w:r>
          </w:p>
        </w:tc>
      </w:tr>
      <w:tr>
        <w:tc>
          <w:tcPr>
            <w:tcW w:w="3288" w:type="dxa"/>
          </w:tcPr>
          <w:p>
            <w:pPr>
              <w:pStyle w:val="0"/>
              <w:jc w:val="center"/>
            </w:pPr>
            <w:r>
              <w:rPr>
                <w:sz w:val="20"/>
              </w:rPr>
              <w:t xml:space="preserve">1</w:t>
            </w:r>
          </w:p>
        </w:tc>
        <w:tc>
          <w:tcPr>
            <w:tcW w:w="5782" w:type="dxa"/>
          </w:tcPr>
          <w:p>
            <w:pPr>
              <w:pStyle w:val="0"/>
              <w:jc w:val="center"/>
            </w:pPr>
            <w:r>
              <w:rPr>
                <w:sz w:val="20"/>
              </w:rPr>
              <w:t xml:space="preserve">2</w:t>
            </w:r>
          </w:p>
        </w:tc>
      </w:tr>
      <w:tr>
        <w:tc>
          <w:tcPr>
            <w:tcW w:w="3288" w:type="dxa"/>
          </w:tcPr>
          <w:p>
            <w:pPr>
              <w:pStyle w:val="0"/>
            </w:pPr>
            <w:r>
              <w:rPr>
                <w:sz w:val="20"/>
              </w:rPr>
              <w:t xml:space="preserve">изготовление столярных и мебельных изделий из древесины и древесных материалов</w:t>
            </w:r>
          </w:p>
        </w:tc>
        <w:tc>
          <w:tcPr>
            <w:tcW w:w="5782" w:type="dxa"/>
          </w:tcPr>
          <w:p>
            <w:pPr>
              <w:pStyle w:val="0"/>
            </w:pPr>
            <w:r>
              <w:rPr>
                <w:sz w:val="20"/>
              </w:rPr>
              <w:t xml:space="preserve">ПК 1.1. Осуществлять подготовку материалов, рабочего места, приспособлений, инструментов и оборудования, необходимых для изготовления столярных и мебельных изделий из древесины и древесных материалов.</w:t>
            </w:r>
          </w:p>
          <w:p>
            <w:pPr>
              <w:pStyle w:val="0"/>
            </w:pPr>
            <w:r>
              <w:rPr>
                <w:sz w:val="20"/>
              </w:rPr>
              <w:t xml:space="preserve">ПК 1.2. Производить подбор и раскрой заготовок, механическую обработку деталей столярных и мебельных изделий.</w:t>
            </w:r>
          </w:p>
          <w:p>
            <w:pPr>
              <w:pStyle w:val="0"/>
            </w:pPr>
            <w:r>
              <w:rPr>
                <w:sz w:val="20"/>
              </w:rPr>
              <w:t xml:space="preserve">ПК 1.3. Производить подбор и раскрой заготовок, механическую обработку шаблонов и приспособлений для производства столярных и мебельных изделий.</w:t>
            </w:r>
          </w:p>
          <w:p>
            <w:pPr>
              <w:pStyle w:val="0"/>
            </w:pPr>
            <w:r>
              <w:rPr>
                <w:sz w:val="20"/>
              </w:rPr>
              <w:t xml:space="preserve">ПК 1.4. Выполнять столярные соединения.</w:t>
            </w:r>
          </w:p>
          <w:p>
            <w:pPr>
              <w:pStyle w:val="0"/>
            </w:pPr>
            <w:r>
              <w:rPr>
                <w:sz w:val="20"/>
              </w:rPr>
              <w:t xml:space="preserve">ПК 1.5. Ремонтировать и реставрировать столярные и мебельные изделия.</w:t>
            </w:r>
          </w:p>
          <w:p>
            <w:pPr>
              <w:pStyle w:val="0"/>
            </w:pPr>
            <w:r>
              <w:rPr>
                <w:sz w:val="20"/>
              </w:rPr>
              <w:t xml:space="preserve">ПК 1.6. Конструировать столярные изделия и мебель.</w:t>
            </w:r>
          </w:p>
        </w:tc>
      </w:tr>
      <w:tr>
        <w:tc>
          <w:tcPr>
            <w:tcW w:w="3288" w:type="dxa"/>
          </w:tcPr>
          <w:p>
            <w:pPr>
              <w:pStyle w:val="0"/>
            </w:pPr>
            <w:r>
              <w:rPr>
                <w:sz w:val="20"/>
              </w:rPr>
              <w:t xml:space="preserve">отделка изделий из древесины и древесных материалов</w:t>
            </w:r>
          </w:p>
        </w:tc>
        <w:tc>
          <w:tcPr>
            <w:tcW w:w="5782" w:type="dxa"/>
            <w:vAlign w:val="bottom"/>
          </w:tcPr>
          <w:p>
            <w:pPr>
              <w:pStyle w:val="0"/>
            </w:pPr>
            <w:r>
              <w:rPr>
                <w:sz w:val="20"/>
              </w:rPr>
              <w:t xml:space="preserve">ПК 2.1. Осуществлять подготовку материалов, рабочего места, приспособлений, инструментов и оборудования для проведения технологических операций по отделке изделий из древесины и древесных материалов.</w:t>
            </w:r>
          </w:p>
          <w:p>
            <w:pPr>
              <w:pStyle w:val="0"/>
            </w:pPr>
            <w:r>
              <w:rPr>
                <w:sz w:val="20"/>
              </w:rPr>
              <w:t xml:space="preserve">ПК 2.2. Осуществлять подготовку поверхности деталей, узлов и изделий различной сложности поверхностей и конструкций к нанесению защитно-декоративных покрытий.</w:t>
            </w:r>
          </w:p>
          <w:p>
            <w:pPr>
              <w:pStyle w:val="0"/>
            </w:pPr>
            <w:r>
              <w:rPr>
                <w:sz w:val="20"/>
              </w:rPr>
              <w:t xml:space="preserve">ПК 2.3. Наносить финишное покрытие на поверхности деталей, узлов и изделий различной сложности поверхностей и конструкций.</w:t>
            </w:r>
          </w:p>
          <w:p>
            <w:pPr>
              <w:pStyle w:val="0"/>
            </w:pPr>
            <w:r>
              <w:rPr>
                <w:sz w:val="20"/>
              </w:rPr>
              <w:t xml:space="preserve">ПК 2.4. Выполнять облицовку поверхностей деталей, узлов, сборочных единиц, изделий из древесины и древесных материалов облицовочными материалами.</w:t>
            </w:r>
          </w:p>
          <w:p>
            <w:pPr>
              <w:pStyle w:val="0"/>
            </w:pPr>
            <w:r>
              <w:rPr>
                <w:sz w:val="20"/>
              </w:rPr>
              <w:t xml:space="preserve">ПК 2.5. Оценивать качество защитно-декоративных покрытий на деталях, узлах и изделиях различной сложности поверхностей и конструкций.</w:t>
            </w:r>
          </w:p>
        </w:tc>
      </w:tr>
      <w:tr>
        <w:tc>
          <w:tcPr>
            <w:tcW w:w="3288" w:type="dxa"/>
          </w:tcPr>
          <w:p>
            <w:pPr>
              <w:pStyle w:val="0"/>
            </w:pPr>
            <w:r>
              <w:rPr>
                <w:sz w:val="20"/>
              </w:rPr>
              <w:t xml:space="preserve">сборка изделий из древесины и древесных материалов</w:t>
            </w:r>
          </w:p>
        </w:tc>
        <w:tc>
          <w:tcPr>
            <w:tcW w:w="5782" w:type="dxa"/>
          </w:tcPr>
          <w:p>
            <w:pPr>
              <w:pStyle w:val="0"/>
            </w:pPr>
            <w:r>
              <w:rPr>
                <w:sz w:val="20"/>
              </w:rPr>
              <w:t xml:space="preserve">ПК 3.1. Осуществлять подготовку рабочего места, оборудования и инструментов, необходимых для сборки изделий из древесины и древесных материалов.</w:t>
            </w:r>
          </w:p>
          <w:p>
            <w:pPr>
              <w:pStyle w:val="0"/>
            </w:pPr>
            <w:r>
              <w:rPr>
                <w:sz w:val="20"/>
              </w:rPr>
              <w:t xml:space="preserve">ПК 3.2. Производить сборку узлов, сборочных единиц и изделий из древесины и древесных материалов.</w:t>
            </w:r>
          </w:p>
          <w:p>
            <w:pPr>
              <w:pStyle w:val="0"/>
            </w:pPr>
            <w:r>
              <w:rPr>
                <w:sz w:val="20"/>
              </w:rPr>
              <w:t xml:space="preserve">ПК 3.3. Устанавливать крепежную арматуру и фурнитуру на изделия из древесины и древесных материалов.</w:t>
            </w:r>
          </w:p>
          <w:p>
            <w:pPr>
              <w:pStyle w:val="0"/>
            </w:pPr>
            <w:r>
              <w:rPr>
                <w:sz w:val="20"/>
              </w:rPr>
              <w:t xml:space="preserve">ПК 3.4. Устанавливать стекольные изделия и зеркала на изделия из древесины и древесных материалов.</w:t>
            </w:r>
          </w:p>
          <w:p>
            <w:pPr>
              <w:pStyle w:val="0"/>
            </w:pPr>
            <w:r>
              <w:rPr>
                <w:sz w:val="20"/>
              </w:rPr>
              <w:t xml:space="preserve">ПК 3.5. Проверять точность и качество сборки изделий, работу всех составных элементов изделия.</w:t>
            </w:r>
          </w:p>
        </w:tc>
      </w:tr>
    </w:tbl>
    <w:p>
      <w:pPr>
        <w:pStyle w:val="0"/>
        <w:jc w:val="both"/>
      </w:pPr>
      <w:r>
        <w:rPr>
          <w:sz w:val="20"/>
        </w:rPr>
      </w:r>
    </w:p>
    <w:p>
      <w:pPr>
        <w:pStyle w:val="0"/>
        <w:ind w:firstLine="540"/>
        <w:jc w:val="both"/>
      </w:pPr>
      <w:r>
        <w:rPr>
          <w:sz w:val="20"/>
        </w:rPr>
        <w:t xml:space="preserve">3.4.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 установленным в соответствии с </w:t>
      </w:r>
      <w:hyperlink w:history="0" w:anchor="P109" w:tooltip="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
        <w:r>
          <w:rPr>
            <w:sz w:val="20"/>
            <w:color w:val="0000ff"/>
          </w:rPr>
          <w:t xml:space="preserve">пунктом 2.4</w:t>
        </w:r>
      </w:hyperlink>
      <w:r>
        <w:rPr>
          <w:sz w:val="20"/>
        </w:rPr>
        <w:t xml:space="preserve"> ФГОС СПО, а также по видам деятельности, сформированным в вариативной части образовательной программы для учета потребностей регионального рынка труда.</w:t>
      </w:r>
    </w:p>
    <w:p>
      <w:pPr>
        <w:pStyle w:val="0"/>
        <w:spacing w:before="200" w:line-rule="auto"/>
        <w:ind w:firstLine="540"/>
        <w:jc w:val="both"/>
      </w:pPr>
      <w:r>
        <w:rPr>
          <w:sz w:val="20"/>
        </w:rPr>
        <w:t xml:space="preserve">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видам деятельности, осваиваемых в рамках образовательной программы.</w:t>
      </w:r>
    </w:p>
    <w:p>
      <w:pPr>
        <w:pStyle w:val="0"/>
        <w:spacing w:before="200" w:line-rule="auto"/>
        <w:ind w:firstLine="540"/>
        <w:jc w:val="both"/>
      </w:pPr>
      <w:r>
        <w:rPr>
          <w:sz w:val="20"/>
        </w:rPr>
        <w:t xml:space="preserve">3.5. Образовательная организация с учетом ПООП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w:t>
      </w:r>
    </w:p>
    <w:p>
      <w:pPr>
        <w:pStyle w:val="0"/>
        <w:spacing w:before="200" w:line-rule="auto"/>
        <w:ind w:firstLine="540"/>
        <w:jc w:val="both"/>
      </w:pPr>
      <w:r>
        <w:rPr>
          <w:sz w:val="20"/>
        </w:rPr>
        <w:t xml:space="preserve">Совокупность запланированных результатов обучения по дисциплинам (модулям) и практикам должна обеспечивать выпускнику освоение всех компетенций, установленных образовательной программой.</w:t>
      </w:r>
    </w:p>
    <w:p>
      <w:pPr>
        <w:pStyle w:val="0"/>
        <w:spacing w:before="200" w:line-rule="auto"/>
        <w:ind w:firstLine="540"/>
        <w:jc w:val="both"/>
      </w:pPr>
      <w:r>
        <w:rPr>
          <w:sz w:val="20"/>
        </w:rPr>
        <w:t xml:space="preserve">3.6. Обучающиеся, осваивающие образовательную программу, могут освоить дополнительно профессию рабочего, должность служащего (одну или несколько) в соответствии с перечнем профессий рабочих, должностей служащих, по которым осуществляется профессиональное обучение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0" w:tooltip="Федеральный закон от 29.12.2012 N 273-ФЗ (ред. от 05.12.2022) &quot;Об образовании в Российской Федерации&quot; {КонсультантПлюс}">
        <w:r>
          <w:rPr>
            <w:sz w:val="20"/>
            <w:color w:val="0000ff"/>
          </w:rPr>
          <w:t xml:space="preserve">Часть 7 статьи 73</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Федеральный </w:t>
      </w:r>
      <w:hyperlink w:history="0" r:id="rId21"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закон</w:t>
        </w:r>
      </w:hyperlink>
      <w:r>
        <w:rPr>
          <w:sz w:val="20"/>
        </w:rPr>
        <w:t xml:space="preserve"> от 30 марта 1999 г. N 52-ФЗ "О санитарно-эпидемиологическом благополучии населения" (Собрание законодательства Российской Федерации, 1999, N 14, ст. 1650; 2021, N 27, ст. 5185); санитарные правила </w:t>
      </w:r>
      <w:hyperlink w:history="0" r:id="rId2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санитарно-эпидемиологические правила и нормы </w:t>
      </w:r>
      <w:hyperlink w:history="0" r:id="rId23"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санитарные правила и нормы </w:t>
      </w:r>
      <w:hyperlink w:history="0" r:id="rId24"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p>
    <w:p>
      <w:pPr>
        <w:pStyle w:val="0"/>
        <w:jc w:val="both"/>
      </w:pPr>
      <w:r>
        <w:rPr>
          <w:sz w:val="20"/>
        </w:rPr>
      </w:r>
    </w:p>
    <w:p>
      <w:pPr>
        <w:pStyle w:val="0"/>
        <w:ind w:firstLine="540"/>
        <w:jc w:val="both"/>
      </w:pPr>
      <w:r>
        <w:rPr>
          <w:sz w:val="20"/>
        </w:rPr>
        <w:t xml:space="preserve">4.2.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4.3.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а)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включая проведение демонстрационного экзамена, предусмотренных учебным планом, с учетом ПООП;</w:t>
      </w:r>
    </w:p>
    <w:p>
      <w:pPr>
        <w:pStyle w:val="0"/>
        <w:spacing w:before="200" w:line-rule="auto"/>
        <w:ind w:firstLine="540"/>
        <w:jc w:val="both"/>
      </w:pPr>
      <w:r>
        <w:rPr>
          <w:sz w:val="20"/>
        </w:rPr>
        <w:t xml:space="preserve">б)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jc w:val="both"/>
      </w:pPr>
      <w:r>
        <w:rPr>
          <w:sz w:val="20"/>
        </w:rPr>
      </w:r>
    </w:p>
    <w:p>
      <w:pPr>
        <w:pStyle w:val="2"/>
        <w:outlineLvl w:val="2"/>
        <w:ind w:firstLine="540"/>
        <w:jc w:val="both"/>
      </w:pPr>
      <w:r>
        <w:rPr>
          <w:sz w:val="20"/>
        </w:rPr>
        <w:t xml:space="preserve">4.4.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а)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w:t>
      </w:r>
    </w:p>
    <w:p>
      <w:pPr>
        <w:pStyle w:val="0"/>
        <w:spacing w:before="200" w:line-rule="auto"/>
        <w:ind w:firstLine="540"/>
        <w:jc w:val="both"/>
      </w:pPr>
      <w:r>
        <w:rPr>
          <w:sz w:val="20"/>
        </w:rPr>
        <w:t xml:space="preserve">б) все виды учебной деятельности обучающихся, предусмотренные учебным планом, включая промежуточную и государственную итоговую аттестацию, должны быть обеспечены расходными материалами;</w:t>
      </w:r>
    </w:p>
    <w:p>
      <w:pPr>
        <w:pStyle w:val="0"/>
        <w:spacing w:before="200" w:line-rule="auto"/>
        <w:ind w:firstLine="540"/>
        <w:jc w:val="both"/>
      </w:pPr>
      <w:r>
        <w:rPr>
          <w:sz w:val="20"/>
        </w:rPr>
        <w:t xml:space="preserve">в)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г) допускается замена оборудования его виртуальными аналогами;</w:t>
      </w:r>
    </w:p>
    <w:p>
      <w:pPr>
        <w:pStyle w:val="0"/>
        <w:spacing w:before="200" w:line-rule="auto"/>
        <w:ind w:firstLine="540"/>
        <w:jc w:val="both"/>
      </w:pPr>
      <w:r>
        <w:rPr>
          <w:sz w:val="20"/>
        </w:rPr>
        <w:t xml:space="preserve">д) 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pPr>
        <w:pStyle w:val="0"/>
        <w:spacing w:before="200" w:line-rule="auto"/>
        <w:ind w:firstLine="540"/>
        <w:jc w:val="both"/>
      </w:pPr>
      <w:r>
        <w:rPr>
          <w:sz w:val="20"/>
        </w:rPr>
        <w:t xml:space="preserve">е)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pPr>
        <w:pStyle w:val="0"/>
        <w:spacing w:before="200" w:line-rule="auto"/>
        <w:ind w:firstLine="540"/>
        <w:jc w:val="both"/>
      </w:pPr>
      <w:r>
        <w:rPr>
          <w:sz w:val="20"/>
        </w:rPr>
        <w:t xml:space="preserve">ж) 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з) 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и)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pPr>
        <w:pStyle w:val="0"/>
        <w:spacing w:before="200" w:line-rule="auto"/>
        <w:ind w:firstLine="540"/>
        <w:jc w:val="both"/>
      </w:pPr>
      <w:r>
        <w:rPr>
          <w:sz w:val="20"/>
        </w:rPr>
        <w:t xml:space="preserve">к)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л) образовательная программа должна обеспечиваться учебно-методической документацией по всем учебным дисциплинам (модулям), видам практики, государственной итоговой аттестации;</w:t>
      </w:r>
    </w:p>
    <w:p>
      <w:pPr>
        <w:pStyle w:val="0"/>
        <w:spacing w:before="200" w:line-rule="auto"/>
        <w:ind w:firstLine="540"/>
        <w:jc w:val="both"/>
      </w:pPr>
      <w:r>
        <w:rPr>
          <w:sz w:val="20"/>
        </w:rPr>
        <w:t xml:space="preserve">м)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4.5. Требования к кадровым условиям реализации образовательной программы:</w:t>
      </w:r>
    </w:p>
    <w:p>
      <w:pPr>
        <w:pStyle w:val="0"/>
        <w:spacing w:before="200" w:line-rule="auto"/>
        <w:ind w:firstLine="540"/>
        <w:jc w:val="both"/>
      </w:pPr>
      <w:r>
        <w:rPr>
          <w:sz w:val="20"/>
        </w:rPr>
        <w:t xml:space="preserve">а)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областям профессиональной деятельности, указанным в </w:t>
      </w:r>
      <w:hyperlink w:history="0" w:anchor="P69" w:tooltip="1.13. Области профессиональной деятельности, в которых выпускники, освоившие образовательную программу, могут осуществлять профессиональную деятельность: 23 Деревообрабатывающая и целлюлозно-бумажная промышленность, мебельное производство, 40 Сквозные виды профессиональной деятельности в промышленности &lt;5&gt;.">
        <w:r>
          <w:rPr>
            <w:sz w:val="20"/>
            <w:color w:val="0000ff"/>
          </w:rPr>
          <w:t xml:space="preserve">пункте 1.13</w:t>
        </w:r>
      </w:hyperlink>
      <w:r>
        <w:rPr>
          <w:sz w:val="20"/>
        </w:rPr>
        <w:t xml:space="preserve"> ФГОС СПО (имеющих стаж работы в данной профессиональной области не менее трех лет);</w:t>
      </w:r>
    </w:p>
    <w:p>
      <w:pPr>
        <w:pStyle w:val="0"/>
        <w:spacing w:before="200" w:line-rule="auto"/>
        <w:ind w:firstLine="540"/>
        <w:jc w:val="both"/>
      </w:pPr>
      <w:r>
        <w:rPr>
          <w:sz w:val="20"/>
        </w:rPr>
        <w:t xml:space="preserve">б)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в) 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областям профессиональной деятельности, указанным в </w:t>
      </w:r>
      <w:hyperlink w:history="0" w:anchor="P69" w:tooltip="1.13. Области профессиональной деятельности, в которых выпускники, освоившие образовательную программу, могут осуществлять профессиональную деятельность: 23 Деревообрабатывающая и целлюлозно-бумажная промышленность, мебельное производство, 40 Сквозные виды профессиональной деятельности в промышленности &lt;5&gt;.">
        <w:r>
          <w:rPr>
            <w:sz w:val="20"/>
            <w:color w:val="0000ff"/>
          </w:rPr>
          <w:t xml:space="preserve">пункте 1.13</w:t>
        </w:r>
      </w:hyperlink>
      <w:r>
        <w:rPr>
          <w:sz w:val="20"/>
        </w:rPr>
        <w:t xml:space="preserve">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pPr>
        <w:pStyle w:val="0"/>
        <w:spacing w:before="200" w:line-rule="auto"/>
        <w:ind w:firstLine="540"/>
        <w:jc w:val="both"/>
      </w:pPr>
      <w:r>
        <w:rPr>
          <w:sz w:val="20"/>
        </w:rPr>
        <w:t xml:space="preserve">г) 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областям профессиональной деятельности, указанным в </w:t>
      </w:r>
      <w:hyperlink w:history="0" w:anchor="P69" w:tooltip="1.13. Области профессиональной деятельности, в которых выпускники, освоившие образовательную программу, могут осуществлять профессиональную деятельность: 23 Деревообрабатывающая и целлюлозно-бумажная промышленность, мебельное производство, 40 Сквозные виды профессиональной деятельности в промышленности &lt;5&gt;.">
        <w:r>
          <w:rPr>
            <w:sz w:val="20"/>
            <w:color w:val="0000ff"/>
          </w:rPr>
          <w:t xml:space="preserve">пункте 1.13</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4.6. Требование к финансовым условиям реализации образовательной программы:</w:t>
      </w:r>
    </w:p>
    <w:p>
      <w:pPr>
        <w:pStyle w:val="0"/>
        <w:spacing w:before="200" w:line-rule="auto"/>
        <w:ind w:firstLine="540"/>
        <w:jc w:val="both"/>
      </w:pPr>
      <w:r>
        <w:rPr>
          <w:sz w:val="20"/>
        </w:rPr>
        <w:t xml:space="preserve">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&lt;8&gt; и Федеральным </w:t>
      </w:r>
      <w:hyperlink w:history="0" r:id="rId25"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Бюджетный </w:t>
      </w:r>
      <w:hyperlink w:history="0" r:id="rId26"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официальный интернет-портал правовой информации (</w:t>
      </w:r>
      <w:r>
        <w:rPr>
          <w:sz w:val="20"/>
        </w:rPr>
        <w:t xml:space="preserve">www.pravo.gov.ru</w:t>
      </w:r>
      <w:r>
        <w:rPr>
          <w:sz w:val="20"/>
        </w:rPr>
        <w:t xml:space="preserve">), 2022, 14 июля, N 0001202207140094).</w:t>
      </w:r>
    </w:p>
    <w:p>
      <w:pPr>
        <w:pStyle w:val="0"/>
        <w:spacing w:before="200" w:line-rule="auto"/>
        <w:ind w:firstLine="540"/>
        <w:jc w:val="both"/>
      </w:pPr>
      <w:r>
        <w:rPr>
          <w:sz w:val="20"/>
        </w:rPr>
        <w:t xml:space="preserve">&lt;9&gt; Собрание законодательства Российской Федерации, 2012, N 53, ст. 7598; официальный интернет-портал правовой информации (</w:t>
      </w:r>
      <w:r>
        <w:rPr>
          <w:sz w:val="20"/>
        </w:rPr>
        <w:t xml:space="preserve">www.pravo.gov.ru</w:t>
      </w:r>
      <w:r>
        <w:rPr>
          <w:sz w:val="20"/>
        </w:rPr>
        <w:t xml:space="preserve">), 2022, 14 июля, N 0001202207140056.</w:t>
      </w:r>
    </w:p>
    <w:p>
      <w:pPr>
        <w:pStyle w:val="0"/>
        <w:jc w:val="both"/>
      </w:pPr>
      <w:r>
        <w:rPr>
          <w:sz w:val="20"/>
        </w:rPr>
      </w:r>
    </w:p>
    <w:p>
      <w:pPr>
        <w:pStyle w:val="2"/>
        <w:outlineLvl w:val="2"/>
        <w:ind w:firstLine="540"/>
        <w:jc w:val="both"/>
      </w:pPr>
      <w:r>
        <w:rPr>
          <w:sz w:val="20"/>
        </w:rPr>
        <w:t xml:space="preserve">4.7.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а)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б)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в) внешняя оценка качества образовательной программы может осуществляться, в том числе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25.07.2022 N 606</w:t>
            <w:br/>
            <w:t>"Об утверждении федерального государственного образовательного стандарт...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48EF80B36D82D65B6ED1860CD1878E21C01615895086E77D53FF93230900678841DB0EBA8984AAD26EC35339EAA076BB97887AA2F457B57YFA3Q" TargetMode = "External"/>
	<Relationship Id="rId8" Type="http://schemas.openxmlformats.org/officeDocument/2006/relationships/hyperlink" Target="consultantplus://offline/ref=048EF80B36D82D65B6ED1860CD1878E21B0B695B940C6E77D53FF93230900678841DB0EBA8984AAF25EC35339EAA076BB97887AA2F457B57YFA3Q" TargetMode = "External"/>
	<Relationship Id="rId9" Type="http://schemas.openxmlformats.org/officeDocument/2006/relationships/hyperlink" Target="consultantplus://offline/ref=048EF80B36D82D65B6ED1860CD1878E21B0B685E93066E77D53FF93230900678841DB0EBA8984AA925EC35339EAA076BB97887AA2F457B57YFA3Q" TargetMode = "External"/>
	<Relationship Id="rId10" Type="http://schemas.openxmlformats.org/officeDocument/2006/relationships/hyperlink" Target="consultantplus://offline/ref=048EF80B36D82D65B6ED1860CD1878E21900675E980A6E77D53FF93230900678841DB0EBA89849A02FEC35339EAA076BB97887AA2F457B57YFA3Q" TargetMode = "External"/>
	<Relationship Id="rId11" Type="http://schemas.openxmlformats.org/officeDocument/2006/relationships/hyperlink" Target="consultantplus://offline/ref=048EF80B36D82D65B6ED1860CD1878E21C03695F950F6E77D53FF93230900678841DB0EBA8984EAD2FEC35339EAA076BB97887AA2F457B57YFA3Q" TargetMode = "External"/>
	<Relationship Id="rId12" Type="http://schemas.openxmlformats.org/officeDocument/2006/relationships/hyperlink" Target="consultantplus://offline/ref=048EF80B36D82D65B6ED1860CD1878E21C03695F950F6E77D53FF93230900678841DB0EBA8984AAA25EC35339EAA076BB97887AA2F457B57YFA3Q" TargetMode = "External"/>
	<Relationship Id="rId13" Type="http://schemas.openxmlformats.org/officeDocument/2006/relationships/hyperlink" Target="consultantplus://offline/ref=048EF80B36D82D65B6ED1860CD1878E21C00665D94086E77D53FF93230900678841DB0EEA3CC1BEC72EA6064C4FE0874BD6684YAAAQ" TargetMode = "External"/>
	<Relationship Id="rId14" Type="http://schemas.openxmlformats.org/officeDocument/2006/relationships/hyperlink" Target="consultantplus://offline/ref=048EF80B36D82D65B6ED1860CD1878E21C00665D94086E77D53FF93230900678841DB0EEA3CC1BEC72EA6064C4FE0874BD6684YAAAQ" TargetMode = "External"/>
	<Relationship Id="rId15" Type="http://schemas.openxmlformats.org/officeDocument/2006/relationships/hyperlink" Target="consultantplus://offline/ref=048EF80B36D82D65B6ED1860CD1878E21C01635C93086E77D53FF93230900678841DB0EEAC9E41FC76A3346FDBF9146BBD7884A833Y4A5Q" TargetMode = "External"/>
	<Relationship Id="rId16" Type="http://schemas.openxmlformats.org/officeDocument/2006/relationships/hyperlink" Target="consultantplus://offline/ref=048EF80B36D82D65B6ED1860CD1878E21C01635C93086E77D53FF93230900678841DB0EBA89848AC2EEC35339EAA076BB97887AA2F457B57YFA3Q" TargetMode = "External"/>
	<Relationship Id="rId17" Type="http://schemas.openxmlformats.org/officeDocument/2006/relationships/hyperlink" Target="consultantplus://offline/ref=048EF80B36D82D65B6ED1860CD1878E21A03645F920E6E77D53FF93230900678841DB0EBA8984AA123EC35339EAA076BB97887AA2F457B57YFA3Q" TargetMode = "External"/>
	<Relationship Id="rId18" Type="http://schemas.openxmlformats.org/officeDocument/2006/relationships/hyperlink" Target="consultantplus://offline/ref=048EF80B36D82D65B6ED1860CD1878E21A03645F920E6E77D53FF93230900678841DB0EBA8984BA921EC35339EAA076BB97887AA2F457B57YFA3Q" TargetMode = "External"/>
	<Relationship Id="rId19" Type="http://schemas.openxmlformats.org/officeDocument/2006/relationships/hyperlink" Target="consultantplus://offline/ref=048EF80B36D82D65B6ED1860CD1878E21A03645F920E6E77D53FF93230900678841DB0EBA8984AAC20EC35339EAA076BB97887AA2F457B57YFA3Q" TargetMode = "External"/>
	<Relationship Id="rId20" Type="http://schemas.openxmlformats.org/officeDocument/2006/relationships/hyperlink" Target="consultantplus://offline/ref=048EF80B36D82D65B6ED1860CD1878E21C01635C93086E77D53FF93230900678841DB0EEA99D41FC76A3346FDBF9146BBD7884A833Y4A5Q" TargetMode = "External"/>
	<Relationship Id="rId21" Type="http://schemas.openxmlformats.org/officeDocument/2006/relationships/hyperlink" Target="consultantplus://offline/ref=048EF80B36D82D65B6ED1860CD1878E21C01605E920A6E77D53FF93230900678961DE8E7A99E54A925F96362D8YFADQ" TargetMode = "External"/>
	<Relationship Id="rId22" Type="http://schemas.openxmlformats.org/officeDocument/2006/relationships/hyperlink" Target="consultantplus://offline/ref=048EF80B36D82D65B6ED1860CD1878E21B05615D990A6E77D53FF93230900678841DB0EBA8984AAC20EC35339EAA076BB97887AA2F457B57YFA3Q" TargetMode = "External"/>
	<Relationship Id="rId23" Type="http://schemas.openxmlformats.org/officeDocument/2006/relationships/hyperlink" Target="consultantplus://offline/ref=048EF80B36D82D65B6ED1860CD1878E21B04675D960A6E77D53FF93230900678841DB0EBA8984AAB20EC35339EAA076BB97887AA2F457B57YFA3Q" TargetMode = "External"/>
	<Relationship Id="rId24" Type="http://schemas.openxmlformats.org/officeDocument/2006/relationships/hyperlink" Target="consultantplus://offline/ref=048EF80B36D82D65B6ED1860CD1878E21B05655093076E77D53FF93230900678841DB0EBA8984BAB20EC35339EAA076BB97887AA2F457B57YFA3Q" TargetMode = "External"/>
	<Relationship Id="rId25" Type="http://schemas.openxmlformats.org/officeDocument/2006/relationships/hyperlink" Target="consultantplus://offline/ref=048EF80B36D82D65B6ED1860CD1878E21C01635C93086E77D53FF93230900678961DE8E7A99E54A925F96362D8YFADQ" TargetMode = "External"/>
	<Relationship Id="rId26" Type="http://schemas.openxmlformats.org/officeDocument/2006/relationships/hyperlink" Target="consultantplus://offline/ref=048EF80B36D82D65B6ED1860CD1878E21C01615098066E77D53FF93230900678961DE8E7A99E54A925F96362D8YFAD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25.07.2022 N 606
"Об утверждении федерального государственного образовательного стандарта среднего профессионального образования по профессии 35.01.28 Мастер столярного и мебельного производства"
(Зарегистрировано в Минюсте России 23.08.2022 N 69751)</dc:title>
  <dcterms:created xsi:type="dcterms:W3CDTF">2022-12-16T16:00:24Z</dcterms:created>
</cp:coreProperties>
</file>